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emf" ContentType="image/x-emf"/>
  <Override PartName="/word/media/image1.emf" ContentType="image/x-emf"/>
  <Override PartName="/word/media/image2.emf" ContentType="image/x-emf"/>
  <Override PartName="/word/media/image3.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pageBreakBefore/>
        <w:widowControl w:val="false"/>
        <w:numPr>
          <w:ilvl w:val="0"/>
          <w:numId w:val="3"/>
        </w:numPr>
        <w:spacing w:after="0" w:before="0"/>
        <w:contextualSpacing w:val="false"/>
        <w:jc w:val="center"/>
      </w:pPr>
      <w:r>
        <w:rPr>
          <w:rFonts w:cs="Arial" w:eastAsia="Calibri"/>
          <w:b/>
          <w:spacing w:val="-1"/>
          <w:sz w:val="32"/>
          <w:szCs w:val="32"/>
        </w:rPr>
        <w:t>Projeto UFV nas Universidades e Sistema de iluminação Área de vivência do Prédio do ICT</w:t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ind w:hanging="0" w:left="0" w:right="-51"/>
        <w:contextualSpacing w:val="false"/>
        <w:jc w:val="center"/>
      </w:pPr>
      <w:r>
        <w:rPr>
          <w:rFonts w:cs="Arial" w:eastAsia="Calibri"/>
          <w:b/>
          <w:sz w:val="24"/>
          <w:szCs w:val="24"/>
        </w:rPr>
        <w:t>MEMORIAL TÉCNICO</w:t>
      </w:r>
    </w:p>
    <w:p>
      <w:pPr>
        <w:pStyle w:val="style0"/>
        <w:widowControl w:val="false"/>
        <w:spacing w:after="0" w:before="0"/>
        <w:ind w:hanging="0" w:left="0" w:right="-51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ind w:hanging="0" w:left="0" w:right="-51"/>
        <w:contextualSpacing w:val="false"/>
        <w:jc w:val="center"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</w:pPr>
      <w:r>
        <w:rPr>
          <w:rFonts w:ascii="Calibri" w:cs="Times New Roman" w:eastAsia="Calibri" w:hAnsi="Calibri"/>
          <w:b/>
          <w:spacing w:val="-1"/>
          <w:sz w:val="32"/>
          <w:szCs w:val="32"/>
        </w:rPr>
        <w:t>CONSTRUÇÃO ÁREA DE VIVÊNCIA DO PRÉDIO DO ICT.</w:t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6"/>
        <w:spacing w:after="0" w:before="0"/>
        <w:contextualSpacing w:val="false"/>
      </w:pPr>
      <w:r>
        <w:rPr>
          <w:rFonts w:cs="Arial" w:eastAsia="Calibri"/>
          <w:b/>
          <w:sz w:val="24"/>
          <w:szCs w:val="24"/>
        </w:rPr>
        <w:t>Outubro de 2017</w:t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  <w:jc w:val="center"/>
      </w:pPr>
      <w:r>
        <w:rPr>
          <w:rFonts w:ascii="Calibri" w:hAnsi="Calibri"/>
          <w:b/>
          <w:bCs/>
          <w:sz w:val="36"/>
          <w:szCs w:val="36"/>
        </w:rPr>
        <w:t>Sumário</w:t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  <w:t>1. Objetivo............................................................................................................................................3</w:t>
      </w:r>
    </w:p>
    <w:p>
      <w:pPr>
        <w:pStyle w:val="style22"/>
        <w:spacing w:after="0" w:before="0"/>
        <w:contextualSpacing w:val="false"/>
      </w:pPr>
      <w:r>
        <w:rPr/>
        <w:t>2. Normativa …....................................................................................................................................3</w:t>
      </w:r>
    </w:p>
    <w:p>
      <w:pPr>
        <w:pStyle w:val="style22"/>
        <w:spacing w:after="0" w:before="0"/>
        <w:contextualSpacing w:val="false"/>
      </w:pPr>
      <w:r>
        <w:rPr/>
        <w:t>3. SMS – Segurança, Meio Ambiente e Saúde …................................................................................3</w:t>
      </w:r>
    </w:p>
    <w:p>
      <w:pPr>
        <w:pStyle w:val="style22"/>
        <w:spacing w:after="0" w:before="0"/>
        <w:contextualSpacing w:val="false"/>
      </w:pPr>
      <w:r>
        <w:rPr/>
        <w:t>4. Descrição das Instalações …............................................................................................................5</w:t>
      </w:r>
    </w:p>
    <w:p>
      <w:pPr>
        <w:pStyle w:val="style22"/>
        <w:spacing w:after="0" w:before="0"/>
        <w:contextualSpacing w:val="false"/>
      </w:pPr>
      <w:r>
        <w:rPr/>
        <w:tab/>
        <w:t>4.1 Espécies Utilizadas …........................................................................................................5</w:t>
      </w:r>
    </w:p>
    <w:p>
      <w:pPr>
        <w:pStyle w:val="style22"/>
        <w:spacing w:after="0" w:before="0"/>
        <w:contextualSpacing w:val="false"/>
      </w:pPr>
      <w:r>
        <w:rPr/>
        <w:tab/>
        <w:t>4.2 Pavimentação ….................................................................................................................5</w:t>
      </w:r>
    </w:p>
    <w:p>
      <w:pPr>
        <w:pStyle w:val="style22"/>
        <w:spacing w:after="0" w:before="0"/>
        <w:contextualSpacing w:val="false"/>
      </w:pPr>
      <w:r>
        <w:rPr/>
        <w:tab/>
        <w:t>4.3 Sistema de Iluminação........................................................................................................7</w:t>
      </w:r>
    </w:p>
    <w:p>
      <w:pPr>
        <w:pStyle w:val="style22"/>
        <w:spacing w:after="0" w:before="0"/>
        <w:contextualSpacing w:val="false"/>
      </w:pPr>
      <w:r>
        <w:rPr/>
        <w:tab/>
        <w:t>4.4 Mobiliário...........................................................................................................................8</w:t>
      </w:r>
    </w:p>
    <w:p>
      <w:pPr>
        <w:pStyle w:val="style22"/>
        <w:spacing w:after="0" w:before="0"/>
        <w:contextualSpacing w:val="false"/>
      </w:pPr>
      <w:r>
        <w:rPr/>
        <w:t>5. Escopo de Fornecimento – Informações Complementares ….........................................................9</w:t>
      </w:r>
    </w:p>
    <w:p>
      <w:pPr>
        <w:pStyle w:val="style22"/>
        <w:spacing w:after="0" w:before="0"/>
        <w:contextualSpacing w:val="false"/>
      </w:pPr>
      <w:r>
        <w:rPr/>
        <w:t>6. Anexos............................................................................................................................................10</w:t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  <w:t xml:space="preserve"> </w:t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22"/>
        <w:spacing w:after="0" w:before="0"/>
        <w:contextualSpacing w:val="false"/>
      </w:pPr>
      <w:r>
        <w:rPr/>
      </w:r>
    </w:p>
    <w:p>
      <w:pPr>
        <w:pStyle w:val="style1"/>
        <w:numPr>
          <w:ilvl w:val="0"/>
          <w:numId w:val="5"/>
        </w:numPr>
        <w:spacing w:after="0" w:before="0"/>
        <w:contextualSpacing w:val="false"/>
      </w:pPr>
      <w:r>
        <w:rPr>
          <w:color w:val="00000A"/>
        </w:rPr>
        <w:t>OBJETIVO</w:t>
      </w:r>
    </w:p>
    <w:p>
      <w:pPr>
        <w:pStyle w:val="style0"/>
        <w:widowControl w:val="false"/>
        <w:spacing w:after="0" w:before="0"/>
        <w:ind w:hanging="0" w:left="0" w:right="412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 w:line="360" w:lineRule="auto"/>
        <w:ind w:firstLine="708" w:left="0" w:right="412"/>
        <w:contextualSpacing w:val="false"/>
        <w:jc w:val="both"/>
      </w:pPr>
      <w:r>
        <w:rPr>
          <w:rFonts w:ascii="Arial" w:cs="Arial" w:eastAsia="Calibri" w:hAnsi="Arial"/>
          <w:spacing w:val="-1"/>
          <w:sz w:val="24"/>
          <w:szCs w:val="24"/>
        </w:rPr>
        <w:t xml:space="preserve">O presente documento tem por objetivo estabelecer as bases para a contratação de empresas para elaboração de projetos, fornecimento de materiais, equipamentos, serviços de engenharia e montagens eletromecânicas de um sistema iluminação e paisagismo da área de vivência, no </w:t>
      </w:r>
      <w:r>
        <w:rPr>
          <w:rFonts w:ascii="Arial" w:cs="Arial" w:eastAsia="Calibri" w:hAnsi="Arial"/>
          <w:sz w:val="24"/>
          <w:szCs w:val="24"/>
        </w:rPr>
        <w:t>prédio do ICT - Instituto de Ciência e Tecnologia da UFVJM, localizado na Rodovia MGT 367 - Km 583 - nº 5000, Alto da Jacuba, no município de Diamantina, Minas Gerais.</w:t>
      </w:r>
    </w:p>
    <w:p>
      <w:pPr>
        <w:pStyle w:val="style0"/>
        <w:widowControl w:val="false"/>
        <w:spacing w:after="0" w:before="0"/>
        <w:ind w:firstLine="708" w:left="0" w:right="412"/>
        <w:contextualSpacing w:val="false"/>
        <w:jc w:val="both"/>
      </w:pPr>
      <w:r>
        <w:rPr/>
      </w:r>
    </w:p>
    <w:p>
      <w:pPr>
        <w:pStyle w:val="style1"/>
        <w:numPr>
          <w:ilvl w:val="0"/>
          <w:numId w:val="5"/>
        </w:numPr>
        <w:spacing w:after="0" w:before="0"/>
        <w:contextualSpacing w:val="false"/>
      </w:pPr>
      <w:r>
        <w:rPr>
          <w:color w:val="00000A"/>
        </w:rPr>
        <w:t>NORMATIVA</w:t>
      </w:r>
    </w:p>
    <w:p>
      <w:pPr>
        <w:pStyle w:val="style0"/>
        <w:spacing w:after="0" w:before="0"/>
        <w:ind w:firstLine="708" w:left="0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 w:line="360" w:lineRule="auto"/>
        <w:ind w:firstLine="708" w:left="0" w:right="133"/>
        <w:contextualSpacing w:val="false"/>
        <w:jc w:val="both"/>
      </w:pPr>
      <w:r>
        <w:rPr>
          <w:rFonts w:ascii="Arial" w:cs="Arial" w:eastAsia="Calibri" w:hAnsi="Arial"/>
          <w:spacing w:val="-1"/>
          <w:sz w:val="24"/>
          <w:szCs w:val="24"/>
        </w:rPr>
        <w:t>Todos os equipamentos e materiais a serem utilizados na construção da Área de Vivência deverão estar em conformidade com as normas e recomendações nacionais em vigor. Caso as normas nacionais não existam ou não atendam o escopo do projeto, uma norma ou recomendação internacional deverá ser aplicada. Qualquer exigência específica constante nas Especificações Técnicas será, contudo, obrigatória.</w:t>
      </w:r>
    </w:p>
    <w:p>
      <w:pPr>
        <w:pStyle w:val="style0"/>
        <w:widowControl w:val="false"/>
        <w:spacing w:after="0" w:before="0"/>
        <w:ind w:firstLine="708" w:left="0" w:right="133"/>
        <w:contextualSpacing w:val="false"/>
        <w:jc w:val="both"/>
      </w:pPr>
      <w:r>
        <w:rPr/>
      </w:r>
    </w:p>
    <w:p>
      <w:pPr>
        <w:pStyle w:val="style0"/>
        <w:numPr>
          <w:ilvl w:val="1"/>
          <w:numId w:val="6"/>
        </w:numPr>
        <w:spacing w:after="0" w:before="0"/>
        <w:ind w:hanging="0" w:left="0" w:right="0"/>
        <w:contextualSpacing w:val="false"/>
        <w:jc w:val="both"/>
      </w:pPr>
      <w:r>
        <w:rPr>
          <w:rFonts w:cs="Arial"/>
          <w:b/>
          <w:bCs/>
          <w:color w:val="00000A"/>
          <w:spacing w:val="-1"/>
          <w:sz w:val="28"/>
          <w:szCs w:val="28"/>
        </w:rPr>
        <w:t>3. SMS – Segurança, Meio Ambiente e Saúde</w:t>
      </w:r>
    </w:p>
    <w:p>
      <w:pPr>
        <w:pStyle w:val="style0"/>
        <w:numPr>
          <w:ilvl w:val="1"/>
          <w:numId w:val="6"/>
        </w:numPr>
        <w:spacing w:after="0" w:before="0"/>
        <w:ind w:hanging="0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contextualSpacing w:val="false"/>
        <w:jc w:val="both"/>
      </w:pPr>
      <w:r>
        <w:rPr>
          <w:rFonts w:ascii="Arial" w:hAnsi="Arial"/>
        </w:rPr>
        <w:tab/>
        <w:t>É obrigatório à CONTRATADA, o fornecimento dos EPIs apropriados ao tipo de trabalho e adequados aos riscos inerentes aos locais de realização.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A CONTRATADA deverá apresentar a Ficha Individual de EPIs para cada colaborador atuante na obra antes do início das atividades.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Todos os EPIS deverão possuir indicação de certificação - C.A.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É mandatório a utilização dos equipamentos de proteção individual durante toda a jornada de trabalho.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Para proteção coletiva, especificamente linhas de vida a serem instaladas para trabalho em altura, a proponente deverá considerar recursos para fixação dos pontos de ancoragem de forma a atender na integra a NR 35, preservando as edificações existentes durante a instalação, ou apresentar plano para recuperação da edificação em caso de alterações para cumprir os aspectos de segurança.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É de responsabilidade da proponente a remoção das sobras de obra de qualquer natureza e o descarte em áreas apropriadas para recebimento do material a ser descartado.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Durante a execução dos serviços as áreas de trânsito de pessoas e veículos adjacentes aos locais de execução dos trabalhos devem permanecer constantemente desobstruídas.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hAnsi="Arial"/>
        </w:rPr>
        <w:t>Ao fim de jornada de trabalho os locais em intervenção deverão permanecer organizados e limpos.</w:t>
      </w:r>
    </w:p>
    <w:p>
      <w:pPr>
        <w:pStyle w:val="style0"/>
        <w:spacing w:after="0" w:before="0" w:line="360" w:lineRule="auto"/>
        <w:ind w:firstLine="708" w:left="0" w:right="134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Cabe ressaltar que, para a execução de todas as atividades inerentes à construção da área de vivência, as normas de segurança do trabalho, em especial: a NR 6 - EQUIPAMENTO DE PROTEÇÃO INDIVIDUAL – EPI; a NR 10 - SEGURANÇA EM INSTALAÇÕES E SERVIÇOS EM ELETRICIDADE; a NR 18 - CONDIÇÕES E MEIO AMBIENTE DE TRABALHO NA INDÚSTRIA DA CONSTRUÇÃO; a NR 26 – SINALIZAÇÃO DE SEGURANÇA , deverão ser observadas e aplicadas por todos os envolvidos direto ou indiretamente nos serviços contratados. </w:t>
      </w:r>
    </w:p>
    <w:p>
      <w:pPr>
        <w:pStyle w:val="style0"/>
        <w:spacing w:after="0" w:before="0"/>
        <w:ind w:firstLine="708" w:left="0" w:right="0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 w:line="360" w:lineRule="auto"/>
        <w:ind w:hanging="0" w:left="709" w:right="133"/>
        <w:contextualSpacing w:val="false"/>
        <w:jc w:val="both"/>
      </w:pPr>
      <w:r>
        <w:rPr>
          <w:rFonts w:cs="Arial" w:eastAsia="Calibri"/>
          <w:b/>
          <w:spacing w:val="-1"/>
          <w:sz w:val="24"/>
          <w:szCs w:val="24"/>
        </w:rPr>
        <w:t>NOTA:</w:t>
      </w:r>
      <w:r>
        <w:rPr>
          <w:rFonts w:cs="Arial" w:eastAsia="Calibri"/>
          <w:spacing w:val="-1"/>
          <w:sz w:val="24"/>
          <w:szCs w:val="24"/>
        </w:rPr>
        <w:t xml:space="preserve"> </w:t>
      </w:r>
      <w:r>
        <w:rPr>
          <w:rFonts w:ascii="Arial" w:cs="Arial" w:eastAsia="Calibri" w:hAnsi="Arial"/>
          <w:i/>
          <w:spacing w:val="-1"/>
          <w:sz w:val="24"/>
          <w:szCs w:val="24"/>
        </w:rPr>
        <w:t>A UFVJM poderá EXIGIR a qualquer momento, a interrupção dos trabalhos em caso de percepção de qualquer risco iminente de incidentes e/ou acidentes de trabalho até a correção das condições ou atos inseguros. Atrasos na execução da obra devido a períodos de interrupção dos trabalhos decorrentes da necessidade de atendimento às condições de segurança do trabalho não poderão ser imputados à UFVJM</w:t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widowControl w:val="false"/>
        <w:spacing w:after="0" w:before="0"/>
        <w:ind w:hanging="0" w:left="709" w:right="133"/>
        <w:contextualSpacing w:val="false"/>
        <w:jc w:val="both"/>
      </w:pPr>
      <w:r>
        <w:rPr/>
      </w:r>
    </w:p>
    <w:p>
      <w:pPr>
        <w:pStyle w:val="style0"/>
        <w:numPr>
          <w:ilvl w:val="0"/>
          <w:numId w:val="6"/>
        </w:numPr>
        <w:spacing w:after="0" w:before="0"/>
        <w:contextualSpacing w:val="false"/>
      </w:pPr>
      <w:r>
        <w:rPr>
          <w:rFonts w:cs="Arial"/>
          <w:b/>
          <w:bCs/>
          <w:color w:val="00000A"/>
          <w:spacing w:val="-1"/>
          <w:sz w:val="28"/>
          <w:szCs w:val="28"/>
        </w:rPr>
        <w:t>4. DESCRIÇÃO DAS INSTALAÇÕES</w:t>
      </w:r>
    </w:p>
    <w:p>
      <w:pPr>
        <w:pStyle w:val="style0"/>
        <w:numPr>
          <w:ilvl w:val="0"/>
          <w:numId w:val="6"/>
        </w:numPr>
        <w:spacing w:after="0" w:before="0"/>
        <w:contextualSpacing w:val="false"/>
      </w:pPr>
      <w:r>
        <w:rPr/>
      </w:r>
    </w:p>
    <w:p>
      <w:pPr>
        <w:pStyle w:val="style0"/>
        <w:widowControl w:val="false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A área de vivência  será construída no pátio interno do Instituto de Ciência e Tecnologia, sua execução deverá ser feita conforme  projetos específicos anexos a este memorial, conformado pelos projetos paisagístico, elétrico e de drenagem, além de mobiliário e iluminação.</w:t>
      </w:r>
    </w:p>
    <w:p>
      <w:pPr>
        <w:pStyle w:val="style0"/>
        <w:widowControl w:val="false"/>
        <w:spacing w:after="0" w:before="0"/>
        <w:ind w:firstLine="708" w:left="0" w:right="0"/>
        <w:contextualSpacing w:val="false"/>
        <w:jc w:val="both"/>
      </w:pPr>
      <w:r>
        <w:rPr/>
      </w:r>
    </w:p>
    <w:p>
      <w:pPr>
        <w:pStyle w:val="style3"/>
        <w:numPr>
          <w:ilvl w:val="2"/>
          <w:numId w:val="4"/>
        </w:numPr>
        <w:spacing w:after="0" w:before="0"/>
        <w:ind w:hanging="851" w:left="851" w:right="0"/>
        <w:contextualSpacing w:val="false"/>
      </w:pPr>
      <w:r>
        <w:rPr>
          <w:i/>
          <w:color w:val="00000A"/>
        </w:rPr>
        <w:t xml:space="preserve">4.1 </w:t>
      </w:r>
      <w:bookmarkStart w:id="0" w:name="_Toc436840231"/>
      <w:bookmarkEnd w:id="0"/>
      <w:r>
        <w:rPr>
          <w:i/>
          <w:color w:val="00000A"/>
        </w:rPr>
        <w:t>Espécies utilizadas</w:t>
      </w:r>
    </w:p>
    <w:p>
      <w:pPr>
        <w:pStyle w:val="style0"/>
        <w:spacing w:after="0" w:before="0"/>
        <w:ind w:firstLine="708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Para o projeto paisagístico priorizou-se o plantio de espécies que se adequam satisfatoriamente ao clima do </w:t>
      </w:r>
      <w:r>
        <w:rPr>
          <w:rFonts w:ascii="Arial" w:cs="Arial" w:hAnsi="Arial"/>
          <w:i/>
          <w:sz w:val="24"/>
          <w:szCs w:val="24"/>
        </w:rPr>
        <w:t>Campus</w:t>
      </w:r>
      <w:r>
        <w:rPr>
          <w:rFonts w:ascii="Arial" w:cs="Arial" w:hAnsi="Arial"/>
          <w:sz w:val="24"/>
          <w:szCs w:val="24"/>
        </w:rPr>
        <w:t xml:space="preserve"> JK e que necessitam de baixa manutenção. Na Tabela 1, segue a listagem de espécies utilizadas e a previsão quantitativa de mudas para o plantio. </w:t>
      </w:r>
    </w:p>
    <w:p>
      <w:pPr>
        <w:pStyle w:val="style0"/>
        <w:spacing w:after="0" w:before="0"/>
        <w:ind w:firstLine="708" w:left="0" w:right="0"/>
        <w:contextualSpacing w:val="false"/>
        <w:jc w:val="both"/>
      </w:pPr>
      <w:r>
        <w:rPr/>
      </w:r>
    </w:p>
    <w:tbl>
      <w:tblPr>
        <w:jc w:val="left"/>
        <w:tblInd w:type="dxa" w:w="-249"/>
        <w:tblBorders>
          <w:bottom w:color="00000A" w:space="0" w:sz="12" w:val="single"/>
        </w:tblBorders>
      </w:tblPr>
      <w:tblGrid>
        <w:gridCol w:w="8940"/>
      </w:tblGrid>
      <w:tr>
        <w:trPr>
          <w:cantSplit w:val="false"/>
        </w:trPr>
        <w:tc>
          <w:tcPr>
            <w:tcW w:type="dxa" w:w="8940"/>
            <w:gridSpan w:val="3"/>
            <w:tcBorders>
              <w:bottom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bCs/>
                <w:sz w:val="24"/>
                <w:szCs w:val="24"/>
              </w:rPr>
              <w:t>Tabela 1: Espécies utilizadas e previsão quantitativa de mudas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Nome popular</w:t>
            </w:r>
          </w:p>
        </w:tc>
        <w:tc>
          <w:tcPr>
            <w:tcW w:type="dxa" w:w="2980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i/>
                <w:sz w:val="24"/>
                <w:szCs w:val="24"/>
              </w:rPr>
              <w:t>Nome científico</w:t>
            </w:r>
          </w:p>
        </w:tc>
        <w:tc>
          <w:tcPr>
            <w:tcW w:type="dxa" w:w="2980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Previsão quantitativa de mudas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Jasmim manga</w:t>
            </w:r>
          </w:p>
        </w:tc>
        <w:tc>
          <w:tcPr>
            <w:tcW w:type="dxa" w:w="2980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Plumeria rubra</w:t>
            </w:r>
          </w:p>
        </w:tc>
        <w:tc>
          <w:tcPr>
            <w:tcW w:type="dxa" w:w="2980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1 muda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Helicônia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Heliconia angusta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971" w:val="left"/>
              </w:tabs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Sapatinho de judia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Thunbergia mysorensis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12 mudas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Gengibre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Zingiber officinale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Maracujá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Passiflora edulis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12 mudas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Estrelícia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Strelitzia reginae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22 mudas</w:t>
            </w:r>
          </w:p>
        </w:tc>
      </w:tr>
      <w:tr>
        <w:trPr>
          <w:cantSplit w:val="false"/>
        </w:trPr>
        <w:tc>
          <w:tcPr>
            <w:tcW w:type="dxa" w:w="2980"/>
            <w:tcBorders>
              <w:top w:color="00000A" w:space="0" w:sz="4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Arial"/>
                <w:sz w:val="24"/>
                <w:szCs w:val="24"/>
              </w:rPr>
              <w:t>Palmeira raphis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i/>
                <w:sz w:val="24"/>
                <w:szCs w:val="24"/>
              </w:rPr>
              <w:t>Raphis excelsa Henry</w:t>
            </w:r>
          </w:p>
        </w:tc>
        <w:tc>
          <w:tcPr>
            <w:tcW w:type="dxa" w:w="2980"/>
            <w:tcBorders>
              <w:top w:color="00000A" w:space="0" w:sz="4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16 mudas</w:t>
            </w:r>
          </w:p>
        </w:tc>
      </w:tr>
    </w:tbl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 w:line="360" w:lineRule="auto"/>
        <w:contextualSpacing w:val="false"/>
        <w:jc w:val="both"/>
      </w:pPr>
      <w:r>
        <w:rPr>
          <w:rFonts w:cs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 xml:space="preserve">Os locais de plantio foram determinados no Anexo  (prancha 1/4). </w:t>
      </w:r>
    </w:p>
    <w:p>
      <w:pPr>
        <w:pStyle w:val="style0"/>
        <w:spacing w:after="0" w:before="0" w:line="360" w:lineRule="auto"/>
        <w:contextualSpacing w:val="false"/>
        <w:jc w:val="both"/>
      </w:pPr>
      <w:r>
        <w:rPr>
          <w:rFonts w:ascii="Arial" w:cs="Arial" w:hAnsi="Arial"/>
          <w:sz w:val="24"/>
          <w:szCs w:val="24"/>
        </w:rPr>
        <w:tab/>
        <w:t>Serão fornecidas um total de 63 mudas conforme listado e previsto em planilha orçamentária.</w:t>
      </w:r>
    </w:p>
    <w:p>
      <w:pPr>
        <w:pStyle w:val="style0"/>
        <w:spacing w:after="0" w:before="0" w:line="360" w:lineRule="auto"/>
        <w:contextualSpacing w:val="false"/>
        <w:jc w:val="both"/>
      </w:pPr>
      <w:r>
        <w:rPr>
          <w:rFonts w:ascii="Arial" w:cs="Arial" w:hAnsi="Arial"/>
          <w:sz w:val="24"/>
          <w:szCs w:val="24"/>
        </w:rPr>
        <w:tab/>
        <w:t>Cabe destacar o plantio de grama batatais em placas em áreas determinadas pelo projeto.</w:t>
      </w:r>
    </w:p>
    <w:p>
      <w:pPr>
        <w:pStyle w:val="style0"/>
        <w:widowControl w:val="false"/>
        <w:spacing w:after="0" w:before="0"/>
        <w:ind w:firstLine="708" w:left="0" w:right="0"/>
        <w:contextualSpacing w:val="false"/>
        <w:jc w:val="both"/>
      </w:pPr>
      <w:r>
        <w:rPr/>
      </w:r>
    </w:p>
    <w:p>
      <w:pPr>
        <w:pStyle w:val="style3"/>
        <w:widowControl w:val="false"/>
        <w:numPr>
          <w:ilvl w:val="2"/>
          <w:numId w:val="4"/>
        </w:numPr>
        <w:spacing w:after="0" w:before="0"/>
        <w:ind w:hanging="851" w:left="851" w:right="0"/>
        <w:contextualSpacing w:val="false"/>
        <w:jc w:val="both"/>
      </w:pPr>
      <w:r>
        <w:rPr>
          <w:rFonts w:cs="Arial"/>
          <w:i/>
          <w:color w:val="00000A"/>
          <w:sz w:val="28"/>
          <w:szCs w:val="28"/>
        </w:rPr>
        <w:t>4.2 Pavimentação</w:t>
      </w:r>
    </w:p>
    <w:p>
      <w:pPr>
        <w:pStyle w:val="style22"/>
        <w:widowControl w:val="false"/>
        <w:spacing w:after="0" w:before="0"/>
        <w:ind w:hanging="851" w:left="851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color w:val="00000A"/>
          <w:sz w:val="24"/>
          <w:szCs w:val="24"/>
        </w:rPr>
        <w:t>A pavimentação do espaço de</w:t>
      </w:r>
      <w:r>
        <w:rPr>
          <w:rFonts w:ascii="Arial" w:cs="Arial" w:hAnsi="Arial"/>
          <w:color w:val="C5000B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vivência será executada com blocos de concreto intertravados do tipo espinha de peixe cor natural. Os blocos devem possuir  resistência Fck &gt;= 35MPa certificados conforme ABNT NBR 9781. Os mesmos terão dimensões de 20x10x6cm.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A execução da  pavimentação deverá obedecer aos requisitos estabelecidos pela ABNT NBR 15953.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A superfície gramada existente será revolvida e destorroada. Executar sistema de drenagem e demais locações e compactar mecanicamente a base. Ao término da compactação é importante a superfície apresentar-se ausente de buracos e calombos. A base  deverá ser compactado com declividade mínima de 2% ou conforme indicação em projeto para escoamento da água</w:t>
      </w:r>
      <w:r>
        <w:rPr>
          <w:rFonts w:ascii="Arial" w:cs="Arial" w:hAnsi="Arial"/>
          <w:color w:val="800000"/>
          <w:sz w:val="24"/>
          <w:szCs w:val="24"/>
        </w:rPr>
        <w:t xml:space="preserve">. </w:t>
      </w:r>
      <w:r>
        <w:rPr>
          <w:rFonts w:ascii="Arial" w:cs="Arial" w:hAnsi="Arial"/>
          <w:color w:val="00000A"/>
          <w:sz w:val="24"/>
          <w:szCs w:val="24"/>
        </w:rPr>
        <w:t>Antes do início da execução da camada de assentamento, a base deverá ser inspecionada e aprovada pela fiscalização.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Os blocos de concreto serão assentados sobre colchão de areia com espessura de 6cm. A camada de assentamento deverá ser uniforme com variação conforme normatizado ou definido em projeto. A umidade da areia a ser lançada deverá estar conforme estabelecido pela referida normatização e deverá ser lançada a quantidade suficiente para cumprir a jornada de trabalho. 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O assentamento dos blocos deverá ser feito de modo que a camada de assentamento mantenha sua uniformidade. Os blocos serão assentados de modo que as juntas entre as peças de concreto tenham entre 2 e 5mm de espaçamento, ou conforme definido em projeto. 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O rejuntamento será executado utilizando pó de pedra. O material deverá atender aos dispostos na ABNT NBR 7211. Aplicar o material de rejuntamento seco. Espalhar uniformemente o material de rejuntamento executando o preenchimento das juntas por varrição. </w:t>
      </w:r>
    </w:p>
    <w:p>
      <w:pPr>
        <w:pStyle w:val="style0"/>
        <w:widowControl w:val="false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i w:val="false"/>
          <w:iCs w:val="false"/>
          <w:color w:val="00000A"/>
          <w:sz w:val="24"/>
          <w:szCs w:val="24"/>
        </w:rPr>
        <w:t xml:space="preserve">Toda área pavimentada com os blocos concretados será compactada mecanicamente utilizando placa vibratória. 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O detalhamento do piso será conforme Anexo  – prancha 1-4.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As instalações hidráulicas serão conforme Anexo – prancha 4-4.</w:t>
      </w:r>
    </w:p>
    <w:p>
      <w:pPr>
        <w:pStyle w:val="style0"/>
        <w:widowControl w:val="false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i w:val="false"/>
          <w:iCs w:val="false"/>
          <w:color w:val="00000A"/>
          <w:sz w:val="24"/>
          <w:szCs w:val="24"/>
        </w:rPr>
        <w:t>Os quantitativos previstos em planilha orçamentária estão definidos conforme Tabela 2.</w:t>
      </w:r>
    </w:p>
    <w:tbl>
      <w:tblPr>
        <w:jc w:val="left"/>
        <w:tblInd w:type="dxa" w:w="-384"/>
        <w:tblBorders>
          <w:bottom w:color="00000A" w:space="0" w:sz="18" w:val="single"/>
          <w:right w:color="00000A" w:space="0" w:sz="4" w:val="single"/>
        </w:tblBorders>
      </w:tblPr>
      <w:tblGrid>
        <w:gridCol w:w="8815"/>
      </w:tblGrid>
      <w:tr>
        <w:trPr>
          <w:cantSplit w:val="false"/>
        </w:trPr>
        <w:tc>
          <w:tcPr>
            <w:tcW w:type="dxa" w:w="8815"/>
            <w:gridSpan w:val="2"/>
            <w:tcBorders>
              <w:bottom w:color="00000A" w:space="0" w:sz="1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bookmarkStart w:id="1" w:name="_Ref436758249"/>
            <w:r>
              <w:rPr>
                <w:rFonts w:cs="Arial"/>
                <w:b/>
                <w:bCs/>
                <w:sz w:val="24"/>
                <w:szCs w:val="24"/>
              </w:rPr>
              <w:t xml:space="preserve">Tabela 2 </w:t>
            </w:r>
            <w:bookmarkEnd w:id="1"/>
            <w:r>
              <w:rPr>
                <w:rFonts w:cs="Arial"/>
                <w:b/>
                <w:bCs/>
                <w:sz w:val="24"/>
                <w:szCs w:val="24"/>
              </w:rPr>
              <w:t>: Pavimentação</w:t>
            </w:r>
          </w:p>
        </w:tc>
      </w:tr>
      <w:tr>
        <w:trPr>
          <w:cantSplit w:val="false"/>
        </w:trPr>
        <w:tc>
          <w:tcPr>
            <w:tcW w:type="dxa" w:w="4407"/>
            <w:tcBorders>
              <w:top w:color="00000A" w:space="0" w:sz="18" w:val="single"/>
              <w:bottom w:color="00000A" w:space="0" w:sz="1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Descrição</w:t>
            </w:r>
          </w:p>
        </w:tc>
        <w:tc>
          <w:tcPr>
            <w:tcW w:type="dxa" w:w="4408"/>
            <w:tcBorders>
              <w:top w:color="00000A" w:space="0" w:sz="18" w:val="single"/>
              <w:left w:color="00000A" w:space="0" w:sz="4" w:val="single"/>
              <w:bottom w:color="00000A" w:space="0" w:sz="1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Quantidade</w:t>
            </w:r>
          </w:p>
        </w:tc>
      </w:tr>
      <w:tr>
        <w:trPr>
          <w:cantSplit w:val="false"/>
        </w:trPr>
        <w:tc>
          <w:tcPr>
            <w:tcW w:type="dxa" w:w="4407"/>
            <w:tcBorders>
              <w:top w:color="00000A" w:space="0" w:sz="1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REVOLVIMENTO E DESTORROAMENTO MANUAL DE SUPERFÍCIE GRAMADA COM PROFUNDIDADE ATÉ 20CM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4408"/>
            <w:tcBorders>
              <w:top w:color="00000A" w:space="0" w:sz="18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600,06m²</w:t>
            </w:r>
          </w:p>
        </w:tc>
      </w:tr>
      <w:tr>
        <w:trPr>
          <w:cantSplit w:val="false"/>
        </w:trPr>
        <w:tc>
          <w:tcPr>
            <w:tcW w:type="dxa" w:w="4407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COMPACTACAO MECANICA A 95% DO PROCTOR NORMAL - PAVIMENTACAO URBANA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440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33,03</w:t>
            </w:r>
            <w:r>
              <w:rPr>
                <w:rFonts w:cs="Arial"/>
                <w:sz w:val="24"/>
                <w:szCs w:val="24"/>
              </w:rPr>
              <w:t>m²</w:t>
            </w:r>
          </w:p>
        </w:tc>
      </w:tr>
      <w:tr>
        <w:trPr>
          <w:cantSplit w:val="false"/>
        </w:trPr>
        <w:tc>
          <w:tcPr>
            <w:tcW w:type="dxa" w:w="4407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EXECUÇÃO DE PASSEIO EM PISO INTERTRAVADO, COM BLOCO RETANGULAR COR NATURAL DE 20 X 10 CM, ESPESSURA 6 CM, COLCHÃO DE AREIA 06 CM. AF_12/2015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440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220,02</w:t>
            </w:r>
          </w:p>
        </w:tc>
      </w:tr>
      <w:tr>
        <w:trPr>
          <w:cantSplit w:val="false"/>
        </w:trPr>
        <w:tc>
          <w:tcPr>
            <w:tcW w:type="dxa" w:w="4407"/>
            <w:tcBorders>
              <w:top w:color="00000A" w:space="0" w:sz="4" w:val="single"/>
              <w:bottom w:color="00000A" w:space="0" w:sz="1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CONCRETO MAGRO PARA LASTRO, TRAÇO 1:4,5:4,5 (CIMENTO/ AREIA MÉDIA/ BRITA 1) - PREPARO MECÂNICO COM BETONEIRA 400 L. AF_07/2016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4408"/>
            <w:tcBorders>
              <w:top w:color="00000A" w:space="0" w:sz="4" w:val="single"/>
              <w:left w:color="00000A" w:space="0" w:sz="4" w:val="single"/>
              <w:bottom w:color="00000A" w:space="0" w:sz="1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472m²</w:t>
            </w:r>
          </w:p>
        </w:tc>
      </w:tr>
    </w:tbl>
    <w:p>
      <w:pPr>
        <w:pStyle w:val="style0"/>
      </w:pPr>
      <w:r>
        <w:rPr/>
      </w:r>
    </w:p>
    <w:p>
      <w:pPr>
        <w:pStyle w:val="style0"/>
        <w:widowControl w:val="false"/>
        <w:spacing w:line="360" w:lineRule="auto"/>
        <w:ind w:firstLine="708" w:left="0" w:right="0"/>
        <w:jc w:val="both"/>
      </w:pPr>
      <w:r>
        <w:rPr>
          <w:rFonts w:ascii="Arial" w:hAnsi="Arial"/>
        </w:rPr>
        <w:t xml:space="preserve">Nenhum conjunto poderá ser concretado sem a prévia e minuciosa verificação por parte da Contratada e da Fiscalização, das fôrmas e armaduras, bem como do exame da correta colocação de tubulações elétricas, hidráulicas e outras que, eventualmente, sejam embutidas na massa de concreto. </w:t>
      </w:r>
    </w:p>
    <w:p>
      <w:pPr>
        <w:pStyle w:val="style0"/>
        <w:widowControl w:val="false"/>
        <w:spacing w:line="360" w:lineRule="auto"/>
        <w:ind w:firstLine="708" w:left="0" w:right="0"/>
        <w:jc w:val="both"/>
      </w:pPr>
      <w:r>
        <w:rPr/>
      </w:r>
    </w:p>
    <w:p>
      <w:pPr>
        <w:pStyle w:val="style3"/>
        <w:numPr>
          <w:ilvl w:val="2"/>
          <w:numId w:val="4"/>
        </w:numPr>
        <w:spacing w:after="0" w:before="0"/>
        <w:ind w:hanging="0" w:left="0" w:right="0"/>
        <w:contextualSpacing w:val="false"/>
      </w:pPr>
      <w:r>
        <w:rPr>
          <w:i/>
          <w:color w:val="00000A"/>
        </w:rPr>
        <w:t xml:space="preserve">  </w:t>
      </w:r>
      <w:r>
        <w:rPr>
          <w:i/>
          <w:color w:val="00000A"/>
        </w:rPr>
        <w:t>4.3</w:t>
        <w:tab/>
        <w:t xml:space="preserve">Sistema de iluminação </w:t>
      </w:r>
    </w:p>
    <w:p>
      <w:pPr>
        <w:pStyle w:val="style0"/>
        <w:spacing w:after="0" w:before="0"/>
        <w:contextualSpacing w:val="false"/>
        <w:jc w:val="both"/>
      </w:pPr>
      <w:r>
        <w:rPr>
          <w:rFonts w:cs="Arial"/>
          <w:sz w:val="24"/>
          <w:szCs w:val="24"/>
        </w:rPr>
        <w:tab/>
        <w:tab/>
      </w:r>
    </w:p>
    <w:p>
      <w:pPr>
        <w:pStyle w:val="style0"/>
        <w:widowControl w:val="false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O sistema de iluminação da área de vivência, deverá ser dimensionado, efetuando o cálculo luminotécnico para a área e distribuído conforme projeto paisagístico (Anexo  - prancha 3/4). A lista dos materiais a serem utilizados para iluminação e previstos em planilha orçamentária estão listados na Tabela 3.</w:t>
      </w:r>
    </w:p>
    <w:tbl>
      <w:tblPr>
        <w:jc w:val="left"/>
        <w:tblInd w:type="dxa" w:w="81"/>
        <w:tblBorders>
          <w:bottom w:color="00000A" w:space="0" w:sz="18" w:val="single"/>
        </w:tblBorders>
      </w:tblPr>
      <w:tblGrid>
        <w:gridCol w:w="8530"/>
      </w:tblGrid>
      <w:tr>
        <w:trPr>
          <w:trHeight w:hRule="atLeast" w:val="288"/>
          <w:cantSplit w:val="false"/>
        </w:trPr>
        <w:tc>
          <w:tcPr>
            <w:tcW w:type="dxa" w:w="8530"/>
            <w:gridSpan w:val="2"/>
            <w:tcBorders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bCs/>
                <w:sz w:val="24"/>
                <w:szCs w:val="24"/>
              </w:rPr>
              <w:t>Tabela 3: Sistema de Iluminação</w:t>
            </w:r>
          </w:p>
        </w:tc>
      </w:tr>
      <w:tr>
        <w:trPr>
          <w:trHeight w:hRule="atLeast" w:val="593"/>
          <w:cantSplit w:val="false"/>
        </w:trPr>
        <w:tc>
          <w:tcPr>
            <w:tcW w:type="dxa" w:w="4265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Elemento</w:t>
            </w:r>
          </w:p>
        </w:tc>
        <w:tc>
          <w:tcPr>
            <w:tcW w:type="dxa" w:w="4265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Quantitativo (unidades)</w:t>
            </w:r>
          </w:p>
        </w:tc>
      </w:tr>
      <w:tr>
        <w:trPr>
          <w:trHeight w:hRule="atLeast" w:val="1279"/>
          <w:cantSplit w:val="false"/>
        </w:trPr>
        <w:tc>
          <w:tcPr>
            <w:tcW w:type="dxa" w:w="4265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Poste metalico decorativo externo p/ jardim H = 2,50m D = 75mm c/ 2 luminarias globo vidro leitoso/plafonier/bocal/lampada fluorescente 45w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5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5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Luminária tipo tartaruga para lâmpada fluorescente compacta de 20 w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5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5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Refletor retangular fechado com lampada vapor metálico 400 W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5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5"/>
            <w:tcBorders>
              <w:top w:color="00000A" w:space="0" w:sz="4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Luminaria estanque - Protecao contra agua, poeira ou impactos - Tipo aquatic pial ou equivalente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5"/>
            <w:tcBorders>
              <w:top w:color="00000A" w:space="0" w:sz="4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</w:tr>
    </w:tbl>
    <w:p>
      <w:pPr>
        <w:pStyle w:val="style0"/>
      </w:pPr>
      <w:r>
        <w:rPr/>
      </w:r>
    </w:p>
    <w:p>
      <w:pPr>
        <w:pStyle w:val="style22"/>
        <w:spacing w:after="0" w:before="0" w:line="360" w:lineRule="auto"/>
        <w:ind w:hanging="0" w:left="0" w:right="0"/>
        <w:contextualSpacing w:val="false"/>
        <w:jc w:val="both"/>
      </w:pPr>
      <w:r>
        <w:rPr>
          <w:rFonts w:cs="Arial"/>
          <w:color w:val="00000A"/>
          <w:sz w:val="24"/>
          <w:szCs w:val="24"/>
        </w:rPr>
        <w:tab/>
      </w:r>
      <w:r>
        <w:rPr>
          <w:rFonts w:ascii="Arial" w:cs="Arial" w:hAnsi="Arial"/>
          <w:color w:val="00000A"/>
          <w:sz w:val="24"/>
          <w:szCs w:val="24"/>
        </w:rPr>
        <w:t xml:space="preserve">Os equipamentos e materiais a serem fornecidos deverão ser fornecidos observando-se a disponibilidade para aquisição de peças de reposição e serviços de manutenção no mercado nacional. </w:t>
      </w:r>
      <w:r>
        <w:rPr>
          <w:rFonts w:ascii="Arial" w:hAnsi="Arial"/>
          <w:color w:val="00000A"/>
        </w:rPr>
        <w:t>Os mesmos deverão ser de boa qualidade e em conformidade com as normatizações brasileiras.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color w:val="00000A"/>
          <w:sz w:val="24"/>
          <w:szCs w:val="24"/>
        </w:rPr>
        <w:t>Os quadros elétricos de distribuição de energia e equipamentos  a serem fornecidos devem atender aos requisitos técnicos das normas NBR 5410 e NR 10.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Os cabos elétricos de interligação  deverão ser instalados em eletrodutos. 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Os eletrodutos metálicos deverão ser aterrados.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Eletrodutos, quando instalados ao tempo, deverão ter seus pontos de conexão protegidos contra penetração de umidade</w:t>
      </w:r>
    </w:p>
    <w:p>
      <w:pPr>
        <w:pStyle w:val="style0"/>
        <w:spacing w:after="0" w:before="0" w:line="360" w:lineRule="auto"/>
        <w:ind w:firstLine="708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Os cabos elétricos deverão ser dimensionados considerando minimizar quedas de tensão nos circuitos e capacidade de condução conforme método de instalação</w:t>
      </w:r>
      <w:r>
        <w:rPr>
          <w:rFonts w:cs="Arial"/>
          <w:sz w:val="24"/>
          <w:szCs w:val="24"/>
        </w:rPr>
        <w:t>.</w:t>
      </w:r>
    </w:p>
    <w:p>
      <w:pPr>
        <w:pStyle w:val="style0"/>
        <w:spacing w:after="0" w:before="0"/>
        <w:ind w:firstLine="708" w:left="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0" w:right="0"/>
        <w:contextualSpacing w:val="false"/>
        <w:jc w:val="both"/>
      </w:pPr>
      <w:r>
        <w:rPr/>
      </w:r>
    </w:p>
    <w:p>
      <w:pPr>
        <w:pStyle w:val="style3"/>
        <w:numPr>
          <w:ilvl w:val="2"/>
          <w:numId w:val="4"/>
        </w:numPr>
        <w:spacing w:after="0" w:before="0"/>
        <w:ind w:hanging="0" w:left="0" w:right="0"/>
        <w:contextualSpacing w:val="false"/>
      </w:pPr>
      <w:r>
        <w:rPr>
          <w:i/>
          <w:color w:val="00000A"/>
        </w:rPr>
        <w:t>4.4 Mobiliário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 w:line="360" w:lineRule="auto"/>
        <w:ind w:firstLine="708" w:left="0" w:right="0"/>
        <w:contextualSpacing w:val="false"/>
      </w:pPr>
      <w:r>
        <w:rPr>
          <w:rFonts w:ascii="Arial" w:hAnsi="Arial"/>
        </w:rPr>
        <w:t>Na Tabela 4 apresenta-se o quantitativo do mobiliário a ser implantado na área de vivência conforme disposto no Anexo  (prancha 1/4).</w:t>
      </w:r>
    </w:p>
    <w:p>
      <w:pPr>
        <w:pStyle w:val="style0"/>
        <w:spacing w:after="0" w:before="0"/>
        <w:ind w:firstLine="708" w:left="0" w:right="0"/>
        <w:contextualSpacing w:val="false"/>
      </w:pPr>
      <w:r>
        <w:rPr/>
      </w:r>
    </w:p>
    <w:tbl>
      <w:tblPr>
        <w:jc w:val="left"/>
        <w:tblInd w:type="dxa" w:w="96"/>
        <w:tblBorders>
          <w:bottom w:color="00000A" w:space="0" w:sz="18" w:val="single"/>
        </w:tblBorders>
      </w:tblPr>
      <w:tblGrid>
        <w:gridCol w:w="8527"/>
      </w:tblGrid>
      <w:tr>
        <w:trPr>
          <w:trHeight w:hRule="atLeast" w:val="288"/>
          <w:cantSplit w:val="false"/>
        </w:trPr>
        <w:tc>
          <w:tcPr>
            <w:tcW w:type="dxa" w:w="8527"/>
            <w:gridSpan w:val="2"/>
            <w:tcBorders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bookmarkStart w:id="2" w:name="_Ref436759819"/>
            <w:r>
              <w:rPr>
                <w:rFonts w:cs="Arial"/>
                <w:b/>
                <w:bCs/>
                <w:sz w:val="24"/>
                <w:szCs w:val="24"/>
              </w:rPr>
              <w:t xml:space="preserve">Tabela 4 </w:t>
            </w:r>
            <w:bookmarkEnd w:id="2"/>
            <w:r>
              <w:rPr>
                <w:rFonts w:cs="Arial"/>
                <w:b/>
                <w:bCs/>
                <w:sz w:val="24"/>
                <w:szCs w:val="24"/>
              </w:rPr>
              <w:t>: Quantitativo mobiliário</w:t>
            </w:r>
          </w:p>
        </w:tc>
      </w:tr>
      <w:tr>
        <w:trPr>
          <w:trHeight w:hRule="atLeast" w:val="593"/>
          <w:cantSplit w:val="false"/>
        </w:trPr>
        <w:tc>
          <w:tcPr>
            <w:tcW w:type="dxa" w:w="4263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Mobiliário</w:t>
            </w:r>
          </w:p>
        </w:tc>
        <w:tc>
          <w:tcPr>
            <w:tcW w:type="dxa" w:w="4264"/>
            <w:tcBorders>
              <w:top w:color="00000A" w:space="0" w:sz="18" w:val="single"/>
              <w:bottom w:color="00000A" w:space="0" w:sz="1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b/>
                <w:sz w:val="24"/>
                <w:szCs w:val="24"/>
              </w:rPr>
              <w:t>Quantitativo (unidades)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3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8"/>
                <w:szCs w:val="18"/>
                <w:u w:val="none"/>
                <w:em w:val="none"/>
              </w:rPr>
              <w:t>CONJUNTO DE MESA E BANCOS DE CONCRETO PARA JOGOS (02 BANCOS EM ARCO COM D INTERNO = 130 CM E H = 43 CM E MESA COM D = 80 CM, E = 8 CM E H = 75 CM)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4"/>
            <w:tcBorders>
              <w:top w:color="00000A" w:space="0" w:sz="18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3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8"/>
                <w:szCs w:val="18"/>
                <w:u w:val="none"/>
                <w:em w:val="none"/>
              </w:rPr>
              <w:t>BANCO DE JARDIM EM CONCRETO TIPO 2, 150 X 40 CM, H = 45 CM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4"/>
            <w:tcBorders>
              <w:top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12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4263"/>
            <w:tcBorders>
              <w:top w:color="00000A" w:space="0" w:sz="4" w:val="single"/>
              <w:bottom w:color="00000A" w:space="0" w:sz="1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Calibri" w:cs="Calibri" w:eastAsia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9"/>
                <w:szCs w:val="19"/>
                <w:u w:val="none"/>
                <w:em w:val="none"/>
              </w:rPr>
              <w:t>LIXEIRA PARA PRAÇA, SUPORTE EM AÇO, CESTO REDONDO EM MADEIRA, DIMENSÕES APROXIMADAS DO CESTO 50cm COM DIÂMETRO 40cm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/>
            </w:r>
          </w:p>
        </w:tc>
        <w:tc>
          <w:tcPr>
            <w:tcW w:type="dxa" w:w="4264"/>
            <w:tcBorders>
              <w:top w:color="00000A" w:space="0" w:sz="4" w:val="single"/>
              <w:bottom w:color="00000A" w:space="0" w:sz="1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</w:tbl>
    <w:p>
      <w:pPr>
        <w:pStyle w:val="style1"/>
        <w:numPr>
          <w:ilvl w:val="0"/>
          <w:numId w:val="3"/>
        </w:numPr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1"/>
        <w:numPr>
          <w:ilvl w:val="0"/>
          <w:numId w:val="2"/>
        </w:numPr>
        <w:tabs/>
        <w:ind w:hanging="360" w:left="27" w:right="0"/>
      </w:pPr>
      <w:r>
        <w:rPr>
          <w:color w:val="00000A"/>
        </w:rPr>
        <w:t>5. ESCOPO DE FORNECIMENTO – INFORMAÇÕES COMPLEMENTARES</w:t>
      </w:r>
    </w:p>
    <w:p>
      <w:pPr>
        <w:pStyle w:val="style0"/>
        <w:spacing w:after="0" w:before="0" w:line="360" w:lineRule="auto"/>
        <w:ind w:firstLine="708" w:left="0" w:right="134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Deverá ser considerado pela empresa </w:t>
      </w:r>
      <w:r>
        <w:rPr>
          <w:rFonts w:ascii="Arial" w:hAnsi="Arial"/>
        </w:rPr>
        <w:t>CONTRATADA</w:t>
      </w:r>
      <w:r>
        <w:rPr>
          <w:rFonts w:ascii="Arial" w:cs="Arial" w:hAnsi="Arial"/>
          <w:sz w:val="24"/>
          <w:szCs w:val="24"/>
        </w:rPr>
        <w:t xml:space="preserve"> o fornecimento completo do escopo de materiais e serviços descritos neste Memorial Técnico, Planilha Orçamentária, Projetos,Termo de Referência e seus anexos.</w:t>
      </w:r>
    </w:p>
    <w:p>
      <w:pPr>
        <w:pStyle w:val="style0"/>
        <w:spacing w:after="0" w:before="0" w:line="360" w:lineRule="auto"/>
        <w:ind w:firstLine="708" w:left="0" w:right="134"/>
        <w:contextualSpacing w:val="false"/>
        <w:jc w:val="both"/>
      </w:pPr>
      <w:r>
        <w:rPr>
          <w:rFonts w:ascii="Arial" w:cs="Arial" w:hAnsi="Arial"/>
          <w:sz w:val="24"/>
          <w:szCs w:val="24"/>
        </w:rPr>
        <w:t>Eventuais desvios às especificações deverão constar em item específico nas propostas técnica e comercial.</w:t>
      </w:r>
    </w:p>
    <w:p>
      <w:pPr>
        <w:pStyle w:val="style0"/>
        <w:spacing w:after="0" w:before="0" w:line="360" w:lineRule="auto"/>
        <w:ind w:firstLine="708" w:left="0" w:right="134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Em caso de apresentação de desvios às especificações, caberá única e exclusivamente à UFVJM decidir ou não pela aceitação bem como a aprovação das alternativas apresentadas pela </w:t>
      </w:r>
      <w:r>
        <w:rPr>
          <w:rFonts w:ascii="Arial" w:hAnsi="Arial"/>
        </w:rPr>
        <w:t>CONTRATADA</w:t>
      </w:r>
      <w:r>
        <w:rPr>
          <w:rFonts w:ascii="Arial" w:cs="Arial" w:hAnsi="Arial"/>
          <w:sz w:val="24"/>
          <w:szCs w:val="24"/>
        </w:rPr>
        <w:t>.</w:t>
      </w:r>
    </w:p>
    <w:p>
      <w:pPr>
        <w:pStyle w:val="style0"/>
        <w:spacing w:after="0" w:before="0" w:line="360" w:lineRule="auto"/>
        <w:ind w:firstLine="708" w:left="0" w:right="134"/>
        <w:contextualSpacing w:val="false"/>
        <w:jc w:val="both"/>
      </w:pPr>
      <w:r>
        <w:rPr>
          <w:rFonts w:ascii="Arial" w:cs="Arial" w:hAnsi="Arial"/>
          <w:color w:val="00000A"/>
          <w:sz w:val="24"/>
          <w:szCs w:val="24"/>
        </w:rPr>
        <w:t>Tratando-se de desvios que impliquem em alteração de materiais, a proponente deverá apresentar em conjunto com a descrição dos desvios e alternativas, informações técnicas suficientes para esclarecer o motivo dos mesmos e o atendimento ao escopo através das alternativas propostas.</w:t>
      </w:r>
    </w:p>
    <w:p>
      <w:pPr>
        <w:pStyle w:val="style22"/>
        <w:spacing w:after="0" w:before="0" w:line="360" w:lineRule="auto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t>-------------------------------------------------------------------------------------------------------------------</w:t>
      </w:r>
    </w:p>
    <w:p>
      <w:pPr>
        <w:pStyle w:val="style22"/>
        <w:spacing w:after="0" w:before="0"/>
        <w:ind w:hanging="0" w:left="360" w:right="0"/>
        <w:contextualSpacing w:val="false"/>
        <w:jc w:val="center"/>
      </w:pPr>
      <w:r>
        <w:rPr/>
        <w:t>Eng. Samuel Elias Cordeiro</w:t>
      </w:r>
    </w:p>
    <w:p>
      <w:pPr>
        <w:pStyle w:val="style22"/>
        <w:spacing w:after="0" w:before="0"/>
        <w:ind w:hanging="0" w:left="360" w:right="0"/>
        <w:contextualSpacing w:val="false"/>
        <w:jc w:val="center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tabs>
          <w:tab w:leader="none" w:pos="1808" w:val="left"/>
        </w:tabs>
        <w:spacing w:after="0" w:before="0"/>
        <w:ind w:hanging="341" w:left="360" w:right="0"/>
        <w:contextualSpacing w:val="false"/>
        <w:jc w:val="both"/>
      </w:pPr>
      <w:r>
        <w:rPr>
          <w:b/>
          <w:bCs/>
        </w:rPr>
        <w:t>6. ANEXOS</w:t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6196965" cy="4510405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51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bookmarkStart w:id="3" w:name="__DdeLink__706_193360773"/>
      <w:bookmarkEnd w:id="3"/>
      <w:r>
        <w:rPr/>
        <w:t>Prancha 1 - 4</w:t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24130</wp:posOffset>
            </wp:positionH>
            <wp:positionV relativeFrom="paragraph">
              <wp:posOffset>0</wp:posOffset>
            </wp:positionV>
            <wp:extent cx="6071870" cy="4401820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440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t>Prancha 2 - 4</w:t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drawing>
          <wp:anchor allowOverlap="1" behindDoc="0" distB="0" distL="0" distR="0" distT="0" layoutInCell="1" locked="0" relativeHeight="2" simplePos="0">
            <wp:simplePos x="0" y="0"/>
            <wp:positionH relativeFrom="column">
              <wp:posOffset>15875</wp:posOffset>
            </wp:positionH>
            <wp:positionV relativeFrom="paragraph">
              <wp:posOffset>0</wp:posOffset>
            </wp:positionV>
            <wp:extent cx="6089015" cy="4424045"/>
            <wp:effectExtent b="0" l="0" r="0" t="0"/>
            <wp:wrapSquare wrapText="largest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015" cy="442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t>Prancha 3 - 4</w:t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drawing>
          <wp:anchor allowOverlap="1" behindDoc="0" distB="0" distL="0" distR="0" distT="0" layoutInCell="1" locked="0" relativeHeight="3" simplePos="0">
            <wp:simplePos x="0" y="0"/>
            <wp:positionH relativeFrom="column">
              <wp:posOffset>-88265</wp:posOffset>
            </wp:positionH>
            <wp:positionV relativeFrom="paragraph">
              <wp:posOffset>0</wp:posOffset>
            </wp:positionV>
            <wp:extent cx="6296660" cy="4544060"/>
            <wp:effectExtent b="0" l="0" r="0" t="0"/>
            <wp:wrapSquare wrapText="largest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660" cy="454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22"/>
        <w:spacing w:after="0" w:before="0"/>
        <w:ind w:hanging="0" w:left="360" w:right="0"/>
        <w:contextualSpacing w:val="false"/>
        <w:jc w:val="both"/>
      </w:pPr>
      <w:r>
        <w:rPr/>
        <w:t>Prancha 4 - 4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360"/>
      </w:pPr>
      <w:rPr>
        <w:smallCaps w:val="false"/>
        <w:caps w:val="false"/>
        <w:color w:val="000000"/>
        <w:dstrike w:val="false"/>
        <w:strike w:val="false"/>
        <w:vertAlign w:val="baseline"/>
        <w:position w:val="0"/>
        <w:sz w:val="22"/>
        <w:sz w:val="22"/>
        <w:spacing w:val="0"/>
        <w:i w:val="false"/>
        <w:u w:val="none"/>
        <w:b/>
        <w:iCs w:val="false"/>
        <w:bCs w:val="false"/>
        <w:em w:val="none"/>
        <w:vanish w:val="false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smallCaps w:val="false"/>
        <w:caps w:val="false"/>
        <w:color w:val="000000"/>
        <w:dstrike w:val="false"/>
        <w:strike w:val="false"/>
        <w:vertAlign w:val="baseline"/>
        <w:position w:val="0"/>
        <w:sz w:val="22"/>
        <w:sz w:val="22"/>
        <w:spacing w:val="0"/>
        <w:i w:val="false"/>
        <w:u w:val="none"/>
        <w:b/>
        <w:iCs w:val="false"/>
        <w:bCs w:val="false"/>
        <w:em w:val="none"/>
        <w:vanish w:val="false"/>
      </w:r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</w:setting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 w:val="false"/>
      <w:tabs/>
      <w:suppressAutoHyphens w:val="true"/>
    </w:pPr>
    <w:rPr>
      <w:rFonts w:ascii="Times New Roman" w:cs="Lucida Sans" w:eastAsia="SimSun" w:hAnsi="Times New Roman"/>
      <w:color w:val="00000A"/>
      <w:sz w:val="24"/>
      <w:szCs w:val="24"/>
      <w:lang w:bidi="hi-IN" w:eastAsia="zh-CN" w:val="pt-BR"/>
    </w:rPr>
  </w:style>
  <w:style w:styleId="style1" w:type="paragraph">
    <w:name w:val="Título 1"/>
    <w:basedOn w:val="style0"/>
    <w:next w:val="style22"/>
    <w:pPr>
      <w:keepNext/>
      <w:keepLines/>
      <w:numPr>
        <w:ilvl w:val="0"/>
        <w:numId w:val="1"/>
      </w:numPr>
      <w:spacing w:after="300" w:before="400"/>
      <w:contextualSpacing w:val="false"/>
      <w:outlineLvl w:val="0"/>
    </w:pPr>
    <w:rPr>
      <w:rFonts w:ascii="Cambria" w:eastAsia="Calibri" w:hAnsi="Cambria"/>
      <w:b/>
      <w:bCs/>
      <w:color w:val="1F497D"/>
      <w:spacing w:val="-1"/>
      <w:sz w:val="28"/>
      <w:szCs w:val="28"/>
    </w:rPr>
  </w:style>
  <w:style w:styleId="style2" w:type="paragraph">
    <w:name w:val="Título 2"/>
    <w:basedOn w:val="style1"/>
    <w:next w:val="style22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Título 3"/>
    <w:basedOn w:val="style2"/>
    <w:next w:val="style22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ListLabel 14"/>
    <w:next w:val="style15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16" w:type="character">
    <w:name w:val="ListLabel 15"/>
    <w:next w:val="style16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17" w:type="character">
    <w:name w:val="ListLabel 16"/>
    <w:next w:val="style17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18" w:type="character">
    <w:name w:val="ListLabel 17"/>
    <w:next w:val="style18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19" w:type="character">
    <w:name w:val="ListLabel 18"/>
    <w:next w:val="style19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20" w:type="character">
    <w:name w:val="ListLabel 19"/>
    <w:next w:val="style20"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2"/>
      <w:sz w:val="22"/>
      <w:u w:val="none"/>
      <w:vertAlign w:val="baseline"/>
      <w:em w:val="none"/>
    </w:rPr>
  </w:style>
  <w:style w:styleId="style21" w:type="paragraph">
    <w:name w:val="Título"/>
    <w:basedOn w:val="style0"/>
    <w:next w:val="style22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22" w:type="paragraph">
    <w:name w:val="Corpo de texto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a"/>
    <w:basedOn w:val="style22"/>
    <w:next w:val="style23"/>
    <w:pPr/>
    <w:rPr>
      <w:rFonts w:cs="Lucida Sans"/>
    </w:rPr>
  </w:style>
  <w:style w:styleId="style24" w:type="paragraph">
    <w:name w:val="Legenda"/>
    <w:basedOn w:val="style0"/>
    <w:next w:val="style24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5" w:type="paragraph">
    <w:name w:val="Índice"/>
    <w:basedOn w:val="style0"/>
    <w:next w:val="style25"/>
    <w:pPr>
      <w:suppressLineNumbers/>
    </w:pPr>
    <w:rPr>
      <w:rFonts w:cs="Lucida Sans"/>
    </w:rPr>
  </w:style>
  <w:style w:styleId="style26" w:type="paragraph">
    <w:name w:val="Rodapé1"/>
    <w:basedOn w:val="style0"/>
    <w:next w:val="style26"/>
    <w:pPr>
      <w:widowControl w:val="false"/>
      <w:tabs>
        <w:tab w:leader="none" w:pos="4252" w:val="center"/>
        <w:tab w:leader="none" w:pos="8504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image" Target="media/image2.emf"/><Relationship Id="rId4" Type="http://schemas.openxmlformats.org/officeDocument/2006/relationships/image" Target="media/image3.emf"/><Relationship Id="rId5" Type="http://schemas.openxmlformats.org/officeDocument/2006/relationships/image" Target="media/image4.emf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LibreOffice/3.6$Windows_x86 LibreOffice_project/2ef5aff-a6fb0ff-166bdff-cf087ad-0f1389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2017-10-03T15:20:03.10Z</dcterms:created>
  <cp:revision>0</cp:revision>
</cp:coreProperties>
</file>